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4112"/>
        <w:gridCol w:w="2977"/>
        <w:gridCol w:w="3543"/>
      </w:tblGrid>
      <w:tr w:rsidR="00F90386" w:rsidRPr="00F90386" w:rsidTr="002C10D9">
        <w:trPr>
          <w:trHeight w:val="345"/>
        </w:trPr>
        <w:tc>
          <w:tcPr>
            <w:tcW w:w="4112" w:type="dxa"/>
            <w:vAlign w:val="center"/>
          </w:tcPr>
          <w:p w:rsidR="0054206C" w:rsidRPr="00F90386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F90386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Coordenadora: </w:t>
            </w:r>
            <w:r w:rsidRPr="00F90386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Ana Maria Caetano</w:t>
            </w:r>
          </w:p>
        </w:tc>
        <w:tc>
          <w:tcPr>
            <w:tcW w:w="2977" w:type="dxa"/>
            <w:vAlign w:val="center"/>
          </w:tcPr>
          <w:p w:rsidR="0054206C" w:rsidRPr="00F90386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F90386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Resp. Técnico: </w:t>
            </w:r>
            <w:r w:rsidRPr="00F90386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Daniela Reis</w:t>
            </w:r>
          </w:p>
        </w:tc>
        <w:tc>
          <w:tcPr>
            <w:tcW w:w="3543" w:type="dxa"/>
            <w:vAlign w:val="center"/>
          </w:tcPr>
          <w:p w:rsidR="0054206C" w:rsidRPr="00F90386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F90386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Departamento: </w:t>
            </w:r>
            <w:r w:rsidRPr="00F90386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CELAM</w:t>
            </w:r>
          </w:p>
        </w:tc>
      </w:tr>
      <w:tr w:rsidR="00E82BE4" w:rsidRPr="00F90386" w:rsidTr="00D64260">
        <w:trPr>
          <w:trHeight w:val="345"/>
        </w:trPr>
        <w:tc>
          <w:tcPr>
            <w:tcW w:w="10632" w:type="dxa"/>
            <w:gridSpan w:val="3"/>
            <w:vAlign w:val="center"/>
          </w:tcPr>
          <w:p w:rsidR="00E82BE4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811D7B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O horário de funcionamento do Laboaratório de Citometria de Fluxo é de 8:30 às 15:50, de segunda a sextas-feira.</w:t>
            </w: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811D7B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O uso do laboratório é permitido a estudantes, pesquisadores e funcionários vinculadas à UFMG.</w:t>
            </w: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811D7B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Somente pessoas treinadas ou acompanhadas de alguém treinado no uso dos equipamentos poderão utilizá-los. </w:t>
            </w:r>
            <w:r w:rsidRPr="00811D7B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Para pessoas externas, deverá ser solicitada autorização junto ao responsável pela plataforma de citometria.</w:t>
            </w: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811D7B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No momento do agendamento do citômetro, o usuário deverá consultar as </w:t>
            </w:r>
            <w:r w:rsidRPr="00811D7B">
              <w:rPr>
                <w:rFonts w:ascii="Century Gothic" w:hAnsi="Century Gothic" w:cs="TimesNewRomanPS-BoldMT"/>
                <w:b/>
                <w:bCs/>
                <w:i/>
                <w:color w:val="000000"/>
                <w:sz w:val="22"/>
                <w:szCs w:val="22"/>
              </w:rPr>
              <w:t>Instruções para o Preparo de Amostras</w:t>
            </w:r>
            <w:r w:rsidRPr="00811D7B">
              <w:rPr>
                <w:rFonts w:ascii="Century Gothic" w:hAnsi="Century Gothic" w:cs="TimesNewRomanPS-BoldMT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11D7B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que estão disponíveis (em arquivo PDF) no site do Laboratório de Citometria.</w:t>
            </w: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E82BE4" w:rsidRPr="00811D7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811D7B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O usuário deverá preencher, no </w:t>
            </w:r>
            <w:r w:rsidRPr="00811D7B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Protocolo de Entrada</w:t>
            </w:r>
            <w:r w:rsidRPr="00811D7B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, informações sobre a amostra, o usuário e o seu orientador/supervisor que é co-responsável pela utilização do Laboratório. Esse Protocolo de Entrada também está disponível no site e pode ser preenchido no momento do agendamento ou no próprio Laboratório no momento da utilização do equipamento.</w:t>
            </w:r>
          </w:p>
          <w:p w:rsidR="00E82BE4" w:rsidRPr="00811D7B" w:rsidRDefault="00E82BE4" w:rsidP="00D64260">
            <w:pPr>
              <w:pStyle w:val="NormalWeb"/>
              <w:spacing w:before="0" w:beforeAutospacing="0" w:after="150" w:afterAutospacing="0" w:line="240" w:lineRule="atLeast"/>
              <w:jc w:val="both"/>
              <w:textAlignment w:val="baseline"/>
              <w:rPr>
                <w:rFonts w:ascii="Century Gothic" w:hAnsi="Century Gothic" w:cs="Tahoma"/>
                <w:color w:val="333333"/>
                <w:sz w:val="22"/>
                <w:szCs w:val="22"/>
              </w:rPr>
            </w:pPr>
          </w:p>
          <w:p w:rsidR="00E82BE4" w:rsidRPr="00811D7B" w:rsidRDefault="00E82BE4" w:rsidP="00D64260">
            <w:pPr>
              <w:pStyle w:val="NormalWeb"/>
              <w:spacing w:before="0" w:beforeAutospacing="0" w:after="150" w:afterAutospacing="0" w:line="360" w:lineRule="auto"/>
              <w:jc w:val="both"/>
              <w:textAlignment w:val="baseline"/>
              <w:rPr>
                <w:rFonts w:ascii="Century Gothic" w:hAnsi="Century Gothic" w:cs="Tahoma"/>
                <w:color w:val="333333"/>
                <w:sz w:val="22"/>
                <w:szCs w:val="22"/>
              </w:rPr>
            </w:pPr>
            <w:r w:rsidRPr="00811D7B">
              <w:rPr>
                <w:rFonts w:ascii="Century Gothic" w:hAnsi="Century Gothic" w:cs="Tahoma"/>
                <w:color w:val="333333"/>
                <w:sz w:val="22"/>
                <w:szCs w:val="22"/>
              </w:rPr>
              <w:t>Os artigos científicos ou outra produção intelectual resultante do uso da plataforma de citometria devem referenciar o Laboratório de Citometria  de Fluxo do ICB-UFMG, de acordo com os modelos a seguir (ou equivalentes):</w:t>
            </w:r>
          </w:p>
          <w:p w:rsidR="00E82BE4" w:rsidRPr="00811D7B" w:rsidRDefault="00E82BE4" w:rsidP="00D642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"Experiments and analysis involving flow cytometry were performed in the Laboratory of Flow Cytometry at the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Instituto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Ciências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Biológicas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Universidade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Federal de Minas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Gerais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, Belo Horizonte, MG, Brazil </w:t>
            </w:r>
            <w:proofErr w:type="gram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( </w:t>
            </w:r>
            <w:proofErr w:type="gramEnd"/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begin"/>
            </w:r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instrText xml:space="preserve"> HYPERLINK "http://labs.icb.ufmg.br/citometria/)" </w:instrText>
            </w:r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separate"/>
            </w:r>
            <w:r w:rsidRPr="00811D7B">
              <w:rPr>
                <w:rStyle w:val="Hyperlink"/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http://labs.icb.ufmg.br/citometria/</w:t>
            </w:r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end"/>
            </w:r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)</w:t>
            </w:r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.”  </w:t>
            </w:r>
          </w:p>
          <w:p w:rsidR="00E82BE4" w:rsidRPr="00811D7B" w:rsidRDefault="00E82BE4" w:rsidP="00D64260">
            <w:pPr>
              <w:pStyle w:val="NormalWeb"/>
              <w:spacing w:before="0" w:beforeAutospacing="0" w:after="0" w:afterAutospacing="0" w:line="240" w:lineRule="atLeast"/>
              <w:ind w:left="720"/>
              <w:jc w:val="both"/>
              <w:textAlignment w:val="baseline"/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E82BE4" w:rsidRPr="00811D7B" w:rsidRDefault="00E82BE4" w:rsidP="00D642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lang w:val="en-US"/>
              </w:rPr>
            </w:pPr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"The authors would like to acknowledge the Laboratory of Flow Cytometry at the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Instituto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Ciências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Biológicas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Universidade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Federal de Minas </w:t>
            </w:r>
            <w:proofErr w:type="spell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Gerais</w:t>
            </w:r>
            <w:proofErr w:type="spellEnd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( </w:t>
            </w:r>
            <w:proofErr w:type="gramEnd"/>
            <w:hyperlink r:id="rId8" w:history="1">
              <w:r w:rsidRPr="00811D7B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/>
                </w:rPr>
                <w:t>http://labs.icb.ufmg.br/citometria/</w:t>
              </w:r>
            </w:hyperlink>
            <w:r w:rsidRPr="00811D7B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)</w:t>
            </w:r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” for providing the equipment and technical support for experiments involving flow cytometry."</w:t>
            </w:r>
          </w:p>
          <w:p w:rsidR="00E82BE4" w:rsidRPr="00811D7B" w:rsidRDefault="00E82BE4" w:rsidP="00D64260">
            <w:pPr>
              <w:pStyle w:val="NormalWeb"/>
              <w:spacing w:before="0" w:beforeAutospacing="0" w:after="0" w:afterAutospacing="0" w:line="240" w:lineRule="atLeast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E82BE4" w:rsidRPr="00811D7B" w:rsidRDefault="00E82BE4" w:rsidP="00D642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seguinte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frase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pode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ser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adicionada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em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qualquer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caso</w:t>
            </w:r>
            <w:proofErr w:type="spellEnd"/>
            <w:r w:rsidRPr="00811D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: </w:t>
            </w:r>
            <w:r w:rsidRPr="00811D7B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“The authors would especially like to thank (name) for his/her technical assistance”</w:t>
            </w:r>
          </w:p>
          <w:p w:rsidR="00E82BE4" w:rsidRPr="005261D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82BE4" w:rsidRPr="005261DB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É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permitid</w: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o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a presença </w:t>
            </w:r>
            <w:r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de um acompanhante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62A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durante a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utilização </w: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dos ciômetros. </w:t>
            </w:r>
            <w:r w:rsidRPr="00452B73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 xml:space="preserve">Entretanto, se o citômetro FACSAria </w:t>
            </w:r>
            <w:r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>Fusion,</w: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 localizado na mesma sala, estiver em uso não será permitido acompanhante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64562A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64562A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Todas</w:t>
            </w:r>
            <w:r w:rsidRPr="0064562A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 as amostras deverão ser filtradas no cell strainer 40µm antes de serem colocadas no equipamento.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</w:p>
          <w:p w:rsidR="00E82BE4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Todos os ajustes e compensações são de responsabilidade do 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usuário</w:t>
            </w: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.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E82BE4" w:rsidRPr="00F53D3C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F53D3C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Não é permitido o uso de:</w:t>
            </w:r>
          </w:p>
          <w:p w:rsidR="00E82BE4" w:rsidRPr="00452B73" w:rsidRDefault="00E82BE4" w:rsidP="00D6426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entury Gothic" w:eastAsia="Calibri" w:hAnsi="Century Gothic" w:cs="Sabon-Roman"/>
                <w:sz w:val="20"/>
                <w:szCs w:val="20"/>
                <w:lang w:val="pt-BR" w:eastAsia="en-US"/>
              </w:rPr>
            </w:pP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PBS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 no reservatório de salina</w:t>
            </w:r>
          </w:p>
          <w:p w:rsidR="00E82BE4" w:rsidRPr="00452B73" w:rsidRDefault="00E82BE4" w:rsidP="00D642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452B73">
              <w:rPr>
                <w:rFonts w:ascii="Century Gothic" w:eastAsia="Calibri" w:hAnsi="Century Gothic" w:cs="Sabon-Roman"/>
                <w:sz w:val="20"/>
                <w:szCs w:val="20"/>
                <w:lang w:val="pt-BR" w:eastAsia="en-US"/>
              </w:rPr>
              <w:t xml:space="preserve">Água Deionizada </w:t>
            </w:r>
            <w:r>
              <w:rPr>
                <w:rFonts w:ascii="Century Gothic" w:eastAsia="Calibri" w:hAnsi="Century Gothic" w:cs="Sabon-Roman"/>
                <w:sz w:val="20"/>
                <w:szCs w:val="20"/>
                <w:lang w:val="pt-BR" w:eastAsia="en-US"/>
              </w:rPr>
              <w:t xml:space="preserve">(DI) 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no reservatório de salina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A limpeza do Facs Calibur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 </w:t>
            </w: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descontaminação da bancada, o descarte do 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waste e</w:t>
            </w: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a </w:t>
            </w: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reposição do tanque de </w:t>
            </w:r>
            <w:r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salina </w:t>
            </w:r>
            <w:r w:rsidRPr="00452B73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após o uso é de responsabilidade do usuário do citômetro.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Cada laboratório deverá 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nomear um responsável 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(treinado) pelo uso do citômetro, que deverá 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acompanhar e ensinar os demais alunos de seu laboratório </w:t>
            </w:r>
            <w:r w:rsidRPr="00452B73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>durante todo o horário agendado</w: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.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Se o responsável concluir que o aluno já demonstra conhecimento para uso sem acompanhamento, o representante deverá agendar um horário , para que seja feita avalição do aluno em questão. Se considerado apto a utilizar o citômetro sozinho, passará a operar o equipamento sem acompanhamento.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Caso algum laboratório não tenha uma pessoa treinada, este deverá buscar a colaboração com um labortório que possua uma pessoa capacitada a utilizar o equipamento.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O agendamento para utilização do citômetro é realizado através do Site : </w: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instrText xml:space="preserve"> HYPERLINK "</w:instrText>
            </w:r>
            <w:r w:rsidRPr="00452B7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instrText>htt</w:instrTex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instrText xml:space="preserve">p://labs.icb.ufmg.br/citometria/" </w:instrTex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fldChar w:fldCharType="separate"/>
            </w:r>
            <w:r w:rsidRPr="00AA41B4">
              <w:rPr>
                <w:rStyle w:val="Hyperlink"/>
                <w:rFonts w:ascii="Century Gothic" w:hAnsi="Century Gothic" w:cs="TimesNewRomanPSMT"/>
                <w:sz w:val="22"/>
                <w:szCs w:val="22"/>
              </w:rPr>
              <w:t>http://labs.icb.ufmg.br/citometria/</w:t>
            </w:r>
            <w:r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fldChar w:fldCharType="end"/>
            </w:r>
          </w:p>
          <w:p w:rsidR="00E82BE4" w:rsidRPr="003C6A1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3C6A1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lastRenderedPageBreak/>
              <w:t xml:space="preserve">Todos os agendamentos serão realizados pelo usuário e seu respectivo orientador que é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3C6A13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também responsável pela utilização do equipamento no horário agendado.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Para os primeiros e últimos usuários do dia, considerar no período agendado o </w:t>
            </w:r>
            <w:r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tempo para aquecimento do laser e</w:t>
            </w:r>
            <w:r w:rsidRPr="00452B73">
              <w:rPr>
                <w:rFonts w:ascii="Century Gothic" w:hAnsi="Century Gothic" w:cs="TimesNewRomanPS-BoldItalicMT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a limpeza do equipamento. Os demais considerar somente a descontaminação do aparelho entre usuários.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E82BE4" w:rsidRPr="00CE5F9D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22"/>
                <w:szCs w:val="22"/>
              </w:rPr>
            </w:pPr>
            <w:r w:rsidRPr="00CE5F9D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No caso de desistência do horário agendado, o </w:t>
            </w:r>
            <w:r w:rsidRPr="00CE5F9D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cancelamento </w:t>
            </w:r>
            <w:r w:rsidRPr="00CE5F9D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do horário agendado deverá ser </w:t>
            </w:r>
            <w:r w:rsidRPr="00CE5F9D">
              <w:rPr>
                <w:rFonts w:ascii="Century Gothic" w:hAnsi="Century Gothic" w:cs="TimesNewRomanPSMT"/>
                <w:sz w:val="22"/>
                <w:szCs w:val="22"/>
              </w:rPr>
              <w:t xml:space="preserve">feito com até </w:t>
            </w:r>
            <w:r w:rsidRPr="00CE5F9D">
              <w:rPr>
                <w:rFonts w:ascii="Century Gothic" w:hAnsi="Century Gothic" w:cs="TimesNewRomanPS-BoldMT"/>
                <w:b/>
                <w:bCs/>
                <w:sz w:val="22"/>
                <w:szCs w:val="22"/>
              </w:rPr>
              <w:t xml:space="preserve">24hs </w:t>
            </w:r>
            <w:r w:rsidRPr="00CE5F9D">
              <w:rPr>
                <w:rFonts w:ascii="Century Gothic" w:hAnsi="Century Gothic" w:cs="TimesNewRomanPSMT"/>
                <w:sz w:val="22"/>
                <w:szCs w:val="22"/>
              </w:rPr>
              <w:t xml:space="preserve">de antecedência, sujeito às seguintes sanções: </w:t>
            </w:r>
          </w:p>
          <w:p w:rsidR="00E82BE4" w:rsidRPr="00CE5F9D" w:rsidRDefault="00E82BE4" w:rsidP="00D6426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</w:rPr>
            </w:pPr>
            <w:r w:rsidRPr="00CE5F9D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Na primeira ocorrência, "o usuário ficará impedido de utilizar</w:t>
            </w:r>
            <w:r w:rsidRPr="00CE5F9D">
              <w:rPr>
                <w:rStyle w:val="apple-converted-space"/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E5F9D">
              <w:rPr>
                <w:rStyle w:val="Strong"/>
                <w:rFonts w:ascii="Century Gothic" w:hAnsi="Century Gothic" w:cs="Arial"/>
                <w:color w:val="000000"/>
                <w:sz w:val="22"/>
                <w:szCs w:val="22"/>
                <w:shd w:val="clear" w:color="auto" w:fill="FFFFFF"/>
              </w:rPr>
              <w:t>o Laboratório de Citometria de Fluxo</w:t>
            </w:r>
            <w:r w:rsidRPr="00CE5F9D">
              <w:rPr>
                <w:rStyle w:val="apple-converted-space"/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E5F9D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pelo período de um mês.</w:t>
            </w:r>
          </w:p>
          <w:p w:rsidR="00E82BE4" w:rsidRPr="00CE5F9D" w:rsidRDefault="00E82BE4" w:rsidP="00D6426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CE5F9D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A </w:t>
            </w:r>
            <w:r w:rsidRPr="00CE5F9D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reincidência duplica </w:t>
            </w:r>
            <w:r w:rsidRPr="00CE5F9D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o tempo de restrição à utilização.</w:t>
            </w:r>
          </w:p>
          <w:p w:rsidR="00E82BE4" w:rsidRPr="00CE5F9D" w:rsidRDefault="00E82BE4" w:rsidP="00D6426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CE5F9D">
              <w:rPr>
                <w:rFonts w:ascii="Century Gothic" w:hAnsi="Century Gothic" w:cs="TimesNewRomanPSMT"/>
                <w:sz w:val="22"/>
                <w:szCs w:val="22"/>
              </w:rPr>
              <w:t>Casos excepcionais, devidamente justificados, em que o cancelamento ocorrer no mesmo dia do uso serão encaminhados à coordenação do Laboratório.</w:t>
            </w:r>
          </w:p>
          <w:p w:rsidR="00E82BE4" w:rsidRPr="00F74128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CE5F9D">
              <w:rPr>
                <w:rFonts w:ascii="Century Gothic" w:hAnsi="Century Gothic" w:cs="TimesNewRomanPSMT"/>
                <w:sz w:val="22"/>
                <w:szCs w:val="22"/>
              </w:rPr>
              <w:t>O cancelamento deve ser realizado diretamente no site de agendamento enviando, no campo adequado, a comunicação do cancelamento à técnica do laboratório.</w:t>
            </w:r>
            <w:r w:rsidRPr="00F74128">
              <w:rPr>
                <w:rFonts w:ascii="Century Gothic" w:hAnsi="Century Gothic" w:cs="TimesNewRomanPSMT"/>
                <w:sz w:val="22"/>
                <w:szCs w:val="22"/>
              </w:rPr>
              <w:t xml:space="preserve">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Reagente necessário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 para </w:t>
            </w:r>
            <w:r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a utilização do equipamento (deve ser fornecido pelo usuário)</w:t>
            </w:r>
            <w:r w:rsidRPr="00452B73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:</w:t>
            </w:r>
          </w:p>
          <w:p w:rsidR="00E82BE4" w:rsidRPr="00C02B16" w:rsidRDefault="00E82BE4" w:rsidP="00D642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</w:pPr>
            <w:proofErr w:type="spellStart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Reaton</w:t>
            </w:r>
            <w:proofErr w:type="spellEnd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II, </w:t>
            </w:r>
            <w:proofErr w:type="spellStart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FacsFlow</w:t>
            </w:r>
            <w:proofErr w:type="spellEnd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ou</w:t>
            </w:r>
            <w:proofErr w:type="spellEnd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Hemoton</w:t>
            </w:r>
            <w:proofErr w:type="spellEnd"/>
            <w:r w:rsidRPr="00C02B16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B57B7F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</w:rPr>
            </w:pPr>
            <w:r w:rsidRPr="00B57B7F">
              <w:rPr>
                <w:rFonts w:ascii="Century Gothic" w:hAnsi="Century Gothic" w:cs="TimesNewRomanPSMT"/>
                <w:b/>
                <w:sz w:val="22"/>
                <w:szCs w:val="22"/>
              </w:rPr>
              <w:t>Armazenamento dos dados:</w:t>
            </w:r>
          </w:p>
          <w:p w:rsidR="00E82BE4" w:rsidRPr="00B57B7F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  <w:lang w:val="pt-BR"/>
              </w:rPr>
            </w:pPr>
          </w:p>
          <w:p w:rsidR="00E82BE4" w:rsidRPr="00300B69" w:rsidRDefault="00E82BE4" w:rsidP="00D6426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300B69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Pendrive</w:t>
            </w: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E82BE4" w:rsidRPr="00452B73" w:rsidRDefault="00E82BE4" w:rsidP="00D642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2BE4" w:rsidRPr="00452B73" w:rsidRDefault="00E82BE4" w:rsidP="00E82BE4">
      <w:pPr>
        <w:jc w:val="both"/>
        <w:rPr>
          <w:rFonts w:ascii="Century Gothic" w:hAnsi="Century Gothic"/>
          <w:color w:val="000000"/>
        </w:rPr>
      </w:pPr>
    </w:p>
    <w:p w:rsidR="00F75897" w:rsidRPr="00F90386" w:rsidRDefault="00F75897" w:rsidP="00F90386">
      <w:pPr>
        <w:jc w:val="both"/>
        <w:rPr>
          <w:rFonts w:ascii="Century Gothic" w:hAnsi="Century Gothic"/>
          <w:color w:val="000000" w:themeColor="text1"/>
        </w:rPr>
      </w:pPr>
    </w:p>
    <w:sectPr w:rsidR="00F75897" w:rsidRPr="00F90386" w:rsidSect="006F64D9">
      <w:headerReference w:type="default" r:id="rId9"/>
      <w:pgSz w:w="12240" w:h="15840"/>
      <w:pgMar w:top="-2410" w:right="1800" w:bottom="1440" w:left="1800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C1" w:rsidRDefault="00656EC1" w:rsidP="00F140FE">
      <w:r>
        <w:separator/>
      </w:r>
    </w:p>
  </w:endnote>
  <w:endnote w:type="continuationSeparator" w:id="0">
    <w:p w:rsidR="00656EC1" w:rsidRDefault="00656EC1" w:rsidP="00F1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C1" w:rsidRDefault="00656EC1" w:rsidP="00F140FE">
      <w:r>
        <w:separator/>
      </w:r>
    </w:p>
  </w:footnote>
  <w:footnote w:type="continuationSeparator" w:id="0">
    <w:p w:rsidR="00656EC1" w:rsidRDefault="00656EC1" w:rsidP="00F1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6" w:type="dxa"/>
      <w:jc w:val="center"/>
      <w:tblInd w:w="1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306"/>
      <w:gridCol w:w="7230"/>
    </w:tblGrid>
    <w:tr w:rsidR="003E34B0" w:rsidRPr="003332C7" w:rsidTr="006764F1">
      <w:trPr>
        <w:trHeight w:val="221"/>
        <w:jc w:val="center"/>
      </w:trPr>
      <w:tc>
        <w:tcPr>
          <w:tcW w:w="3306" w:type="dxa"/>
          <w:vMerge w:val="restart"/>
          <w:vAlign w:val="center"/>
        </w:tcPr>
        <w:p w:rsidR="003E34B0" w:rsidRPr="003332C7" w:rsidRDefault="00CE42A8" w:rsidP="00E97628">
          <w:pPr>
            <w:pStyle w:val="Header"/>
            <w:jc w:val="center"/>
            <w:rPr>
              <w:rFonts w:ascii="Century Gothic" w:hAnsi="Century Gothic" w:cs="Calibri"/>
              <w:sz w:val="20"/>
              <w:szCs w:val="20"/>
            </w:rPr>
          </w:pPr>
          <w:r>
            <w:rPr>
              <w:noProof/>
              <w:lang w:val="pt-BR"/>
            </w:rPr>
            <w:drawing>
              <wp:inline distT="0" distB="0" distL="0" distR="0" wp14:anchorId="2510293D" wp14:editId="780ACF97">
                <wp:extent cx="1962150" cy="937032"/>
                <wp:effectExtent l="0" t="0" r="0" b="0"/>
                <wp:docPr id="3" name="Picture 3" descr="https://encrypted-tbn2.gstatic.com/images?q=tbn:ANd9GcTNDPYHje99bxNJPXcz4jjhnOFng1lgMPuORVaieCtKILpzIm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DPYHje99bxNJPXcz4jjhnOFng1lgMPuORVaieCtKILpzIm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3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6764F1" w:rsidRPr="003332C7" w:rsidRDefault="00D0152C" w:rsidP="00D0152C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Century Gothic" w:hAnsi="Century Gothic" w:cs="Calibri"/>
              <w:b/>
              <w:sz w:val="20"/>
              <w:szCs w:val="20"/>
            </w:rPr>
          </w:pPr>
          <w:r w:rsidRPr="00F90386">
            <w:rPr>
              <w:rFonts w:ascii="Century Gothic" w:hAnsi="Century Gothic" w:cs="TimesNewRomanPSMT"/>
              <w:b/>
              <w:color w:val="000000" w:themeColor="text1"/>
            </w:rPr>
            <w:t>Normas par</w:t>
          </w:r>
          <w:r w:rsidR="00A77923">
            <w:rPr>
              <w:rFonts w:ascii="Century Gothic" w:hAnsi="Century Gothic" w:cs="TimesNewRomanPSMT"/>
              <w:b/>
              <w:color w:val="000000" w:themeColor="text1"/>
            </w:rPr>
            <w:t>a uso do Citômetro FacsCalibur</w:t>
          </w:r>
        </w:p>
      </w:tc>
    </w:tr>
    <w:tr w:rsidR="003E34B0" w:rsidRPr="003332C7" w:rsidTr="006764F1">
      <w:trPr>
        <w:trHeight w:val="221"/>
        <w:jc w:val="center"/>
      </w:trPr>
      <w:tc>
        <w:tcPr>
          <w:tcW w:w="3306" w:type="dxa"/>
          <w:vMerge/>
        </w:tcPr>
        <w:p w:rsidR="003E34B0" w:rsidRPr="003332C7" w:rsidRDefault="00656EC1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  <w:tc>
        <w:tcPr>
          <w:tcW w:w="7230" w:type="dxa"/>
        </w:tcPr>
        <w:p w:rsidR="003E34B0" w:rsidRDefault="00CE42A8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b/>
              <w:sz w:val="20"/>
              <w:szCs w:val="20"/>
            </w:rPr>
            <w:t xml:space="preserve">Código de Tombamento: </w:t>
          </w:r>
          <w:r w:rsidR="007B2C6C">
            <w:rPr>
              <w:rFonts w:ascii="Century Gothic" w:hAnsi="Century Gothic" w:cs="Calibri"/>
              <w:sz w:val="20"/>
              <w:szCs w:val="20"/>
            </w:rPr>
            <w:t>01117211-8</w:t>
          </w:r>
        </w:p>
        <w:p w:rsidR="006764F1" w:rsidRPr="003332C7" w:rsidRDefault="00656EC1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</w:p>
      </w:tc>
    </w:tr>
    <w:tr w:rsidR="003E34B0" w:rsidRPr="003332C7" w:rsidTr="006764F1">
      <w:trPr>
        <w:trHeight w:val="221"/>
        <w:jc w:val="center"/>
      </w:trPr>
      <w:tc>
        <w:tcPr>
          <w:tcW w:w="3306" w:type="dxa"/>
          <w:vMerge/>
        </w:tcPr>
        <w:p w:rsidR="003E34B0" w:rsidRPr="003332C7" w:rsidRDefault="00656EC1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  <w:tc>
        <w:tcPr>
          <w:tcW w:w="7230" w:type="dxa"/>
        </w:tcPr>
        <w:p w:rsidR="003E34B0" w:rsidRPr="003332C7" w:rsidRDefault="00CE42A8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6764F1">
            <w:rPr>
              <w:rFonts w:ascii="Century Gothic" w:hAnsi="Century Gothic" w:cs="Calibri"/>
              <w:b/>
              <w:sz w:val="20"/>
              <w:szCs w:val="20"/>
            </w:rPr>
            <w:t>Série/nº:</w:t>
          </w:r>
          <w:r w:rsidR="00655E23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7B2C6C">
            <w:rPr>
              <w:rFonts w:ascii="Century Gothic" w:hAnsi="Century Gothic" w:cs="Calibri"/>
              <w:sz w:val="20"/>
              <w:szCs w:val="20"/>
            </w:rPr>
            <w:t>E97501484/2010</w:t>
          </w:r>
        </w:p>
      </w:tc>
    </w:tr>
  </w:tbl>
  <w:p w:rsidR="003E34B0" w:rsidRPr="006F64D9" w:rsidRDefault="00656EC1" w:rsidP="006F64D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3F"/>
    <w:multiLevelType w:val="hybridMultilevel"/>
    <w:tmpl w:val="1950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8CF"/>
    <w:multiLevelType w:val="hybridMultilevel"/>
    <w:tmpl w:val="5B089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64658"/>
    <w:multiLevelType w:val="hybridMultilevel"/>
    <w:tmpl w:val="BD14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9AF"/>
    <w:multiLevelType w:val="hybridMultilevel"/>
    <w:tmpl w:val="AF7A8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ACD"/>
    <w:multiLevelType w:val="hybridMultilevel"/>
    <w:tmpl w:val="9ED26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0EFA"/>
    <w:multiLevelType w:val="hybridMultilevel"/>
    <w:tmpl w:val="87A8C9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CC3B61"/>
    <w:multiLevelType w:val="hybridMultilevel"/>
    <w:tmpl w:val="730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64F97"/>
    <w:multiLevelType w:val="hybridMultilevel"/>
    <w:tmpl w:val="E1E47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2E85"/>
    <w:multiLevelType w:val="hybridMultilevel"/>
    <w:tmpl w:val="9BD006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145FB"/>
    <w:multiLevelType w:val="hybridMultilevel"/>
    <w:tmpl w:val="99F6DB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2EFF"/>
    <w:multiLevelType w:val="hybridMultilevel"/>
    <w:tmpl w:val="C7268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0BD3"/>
    <w:multiLevelType w:val="hybridMultilevel"/>
    <w:tmpl w:val="AE268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023312"/>
    <w:multiLevelType w:val="hybridMultilevel"/>
    <w:tmpl w:val="FA60D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45066"/>
    <w:multiLevelType w:val="hybridMultilevel"/>
    <w:tmpl w:val="5D12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2E09"/>
    <w:multiLevelType w:val="hybridMultilevel"/>
    <w:tmpl w:val="8796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2760"/>
    <w:multiLevelType w:val="hybridMultilevel"/>
    <w:tmpl w:val="86780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022D0"/>
    <w:multiLevelType w:val="hybridMultilevel"/>
    <w:tmpl w:val="5EBE1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82443"/>
    <w:multiLevelType w:val="hybridMultilevel"/>
    <w:tmpl w:val="D3E0C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51C57"/>
    <w:multiLevelType w:val="hybridMultilevel"/>
    <w:tmpl w:val="CFF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C"/>
    <w:rsid w:val="00092BAE"/>
    <w:rsid w:val="0009320E"/>
    <w:rsid w:val="000C5D08"/>
    <w:rsid w:val="000D47F3"/>
    <w:rsid w:val="000D526D"/>
    <w:rsid w:val="00113ABA"/>
    <w:rsid w:val="00120144"/>
    <w:rsid w:val="00151A66"/>
    <w:rsid w:val="00162513"/>
    <w:rsid w:val="001B08B2"/>
    <w:rsid w:val="001C1937"/>
    <w:rsid w:val="001D7260"/>
    <w:rsid w:val="00222B50"/>
    <w:rsid w:val="00247465"/>
    <w:rsid w:val="00261CD7"/>
    <w:rsid w:val="00275000"/>
    <w:rsid w:val="002C6D01"/>
    <w:rsid w:val="002F2CE7"/>
    <w:rsid w:val="00351E80"/>
    <w:rsid w:val="00371E5C"/>
    <w:rsid w:val="003B2351"/>
    <w:rsid w:val="003D1A82"/>
    <w:rsid w:val="00417F2F"/>
    <w:rsid w:val="004224CC"/>
    <w:rsid w:val="004F4711"/>
    <w:rsid w:val="0051376B"/>
    <w:rsid w:val="00516CC9"/>
    <w:rsid w:val="0054206C"/>
    <w:rsid w:val="00552733"/>
    <w:rsid w:val="005739F7"/>
    <w:rsid w:val="0058261E"/>
    <w:rsid w:val="005C5E1D"/>
    <w:rsid w:val="0061008C"/>
    <w:rsid w:val="00620929"/>
    <w:rsid w:val="00630E52"/>
    <w:rsid w:val="00655E23"/>
    <w:rsid w:val="00656EC1"/>
    <w:rsid w:val="007109E7"/>
    <w:rsid w:val="00710D31"/>
    <w:rsid w:val="007B2C6C"/>
    <w:rsid w:val="008C581C"/>
    <w:rsid w:val="008E5363"/>
    <w:rsid w:val="00947FDF"/>
    <w:rsid w:val="00967B98"/>
    <w:rsid w:val="00984212"/>
    <w:rsid w:val="009B3DB2"/>
    <w:rsid w:val="00A57A2A"/>
    <w:rsid w:val="00A77923"/>
    <w:rsid w:val="00AF2513"/>
    <w:rsid w:val="00AF2539"/>
    <w:rsid w:val="00B42D4F"/>
    <w:rsid w:val="00BD6430"/>
    <w:rsid w:val="00BE1CB2"/>
    <w:rsid w:val="00C16938"/>
    <w:rsid w:val="00CB102C"/>
    <w:rsid w:val="00CE16F5"/>
    <w:rsid w:val="00CE39C8"/>
    <w:rsid w:val="00CE42A8"/>
    <w:rsid w:val="00CF02A6"/>
    <w:rsid w:val="00D0152C"/>
    <w:rsid w:val="00D67E91"/>
    <w:rsid w:val="00D809D0"/>
    <w:rsid w:val="00DE45FB"/>
    <w:rsid w:val="00E330F8"/>
    <w:rsid w:val="00E56A38"/>
    <w:rsid w:val="00E82BE4"/>
    <w:rsid w:val="00EA2FA8"/>
    <w:rsid w:val="00EF64A4"/>
    <w:rsid w:val="00EF64E5"/>
    <w:rsid w:val="00F140FE"/>
    <w:rsid w:val="00F14A7F"/>
    <w:rsid w:val="00F56FCE"/>
    <w:rsid w:val="00F609FB"/>
    <w:rsid w:val="00F64482"/>
    <w:rsid w:val="00F75897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0C5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09E7"/>
  </w:style>
  <w:style w:type="character" w:styleId="Strong">
    <w:name w:val="Strong"/>
    <w:basedOn w:val="DefaultParagraphFont"/>
    <w:uiPriority w:val="22"/>
    <w:qFormat/>
    <w:rsid w:val="00710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3DB2"/>
    <w:pPr>
      <w:spacing w:before="100" w:beforeAutospacing="1" w:after="100" w:afterAutospacing="1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0C5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09E7"/>
  </w:style>
  <w:style w:type="character" w:styleId="Strong">
    <w:name w:val="Strong"/>
    <w:basedOn w:val="DefaultParagraphFont"/>
    <w:uiPriority w:val="22"/>
    <w:qFormat/>
    <w:rsid w:val="00710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3DB2"/>
    <w:pPr>
      <w:spacing w:before="100" w:beforeAutospacing="1" w:after="100" w:afterAutospacing="1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icb.ufmg.br/citometria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CITOMETRIA</cp:lastModifiedBy>
  <cp:revision>8</cp:revision>
  <cp:lastPrinted>2015-04-24T15:30:00Z</cp:lastPrinted>
  <dcterms:created xsi:type="dcterms:W3CDTF">2015-07-10T15:11:00Z</dcterms:created>
  <dcterms:modified xsi:type="dcterms:W3CDTF">2015-07-15T20:45:00Z</dcterms:modified>
</cp:coreProperties>
</file>